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w:hAnsi="IBM Plex Sans"/>
          <w:b/>
          <w:color w:val="281CFF"/>
          <w:sz w:val="36"/>
          <w:u w:val="none"/>
        </w:rPr>
        <w:t>Ali Al-Janabi</w:t>
      </w:r>
    </w:p>
    <w:p>
      <w:pPr>
        <w:spacing w:after="120"/>
      </w:pPr>
      <w:r>
        <w:rPr>
          <w:rFonts w:ascii="IBM Plex Sans" w:hAnsi="IBM Plex Sans"/>
          <w:b w:val="0"/>
          <w:color w:val="3A3A3A"/>
          <w:sz w:val="26"/>
          <w:u w:val="none"/>
        </w:rPr>
        <w:t>Founding Product Designer</w:t>
      </w:r>
    </w:p>
    <w:p>
      <w:pPr>
        <w:spacing w:after="200"/>
      </w:pPr>
      <w:r>
        <w:rPr>
          <w:rFonts w:ascii="IBM Plex Sans" w:hAnsi="IBM Plex Sans"/>
          <w:b w:val="0"/>
          <w:color w:val="3A3A3A"/>
          <w:sz w:val="20"/>
          <w:u w:val="none"/>
        </w:rPr>
        <w:t xml:space="preserve">+1 416 871 2904 · </w:t>
      </w:r>
      <w:r>
        <w:rPr>
          <w:rFonts w:ascii="IBM Plex Sans" w:hAnsi="IBM Plex Sans"/>
          <w:b w:val="0"/>
          <w:color w:val="281CFF"/>
          <w:sz w:val="20"/>
          <w:u w:val="single"/>
        </w:rPr>
        <w:t>hi@aligfx.com</w:t>
      </w:r>
      <w:r>
        <w:rPr>
          <w:rFonts w:ascii="IBM Plex Sans" w:hAnsi="IBM Plex Sans"/>
          <w:b w:val="0"/>
          <w:color w:val="3A3A3A"/>
          <w:sz w:val="20"/>
          <w:u w:val="none"/>
        </w:rPr>
        <w:t xml:space="preserve"> · </w:t>
      </w:r>
      <w:r>
        <w:rPr>
          <w:rFonts w:ascii="IBM Plex Sans" w:hAnsi="IBM Plex Sans"/>
          <w:b w:val="0"/>
          <w:color w:val="281CFF"/>
          <w:sz w:val="20"/>
          <w:u w:val="single"/>
        </w:rPr>
        <w:t>aligfx.com</w:t>
      </w:r>
      <w:r>
        <w:rPr>
          <w:rFonts w:ascii="IBM Plex Sans" w:hAnsi="IBM Plex Sans"/>
          <w:b w:val="0"/>
          <w:color w:val="3A3A3A"/>
          <w:sz w:val="20"/>
          <w:u w:val="none"/>
        </w:rPr>
        <w:t xml:space="preserve"> · </w:t>
      </w:r>
      <w:r>
        <w:rPr>
          <w:rFonts w:ascii="IBM Plex Sans" w:hAnsi="IBM Plex Sans"/>
          <w:b w:val="0"/>
          <w:color w:val="281CFF"/>
          <w:sz w:val="20"/>
          <w:u w:val="single"/>
        </w:rPr>
        <w:t>linkedin.com/in/aligfx</w:t>
      </w:r>
    </w:p>
    <w:p>
      <w:pPr>
        <w:spacing w:line="320" w:lineRule="exact" w:after="280"/>
      </w:pPr>
      <w:r>
        <w:rPr>
          <w:rFonts w:ascii="IBM Plex Sans" w:hAnsi="IBM Plex Sans"/>
          <w:b w:val="0"/>
          <w:color w:val="3A3A3A"/>
          <w:sz w:val="22"/>
          <w:u w:val="none"/>
        </w:rPr>
        <w:t>Technically integrated Senior Product Designer and Operations Leader with 12+ years of experience delivering 0-to-1 and scaled ecosystems for B2B SaaS, fintech, and complex enterprise platforms. Expert in bridging the gap between conceptual design and technical execution by leveraging modern AI workflows (Cursor, Claude) and treating code as the ultimate source of truth. Proven track record of accelerating time-to-market, building scalable design systems, and driving measurable business outcomes—including +25% user satisfaction metrics—through rigorous engineering partnerships and strategic product vision.</w:t>
      </w:r>
    </w:p>
    <w:p>
      <w:pPr>
        <w:spacing w:after="160"/>
      </w:pPr>
      <w:r>
        <w:rPr>
          <w:rFonts w:ascii="IBM Plex Sans" w:hAnsi="IBM Plex Sans"/>
          <w:b/>
          <w:color w:val="281CFF"/>
          <w:sz w:val="26"/>
          <w:u w:val="none"/>
        </w:rPr>
        <w:t>Experience</w:t>
      </w:r>
    </w:p>
    <w:p>
      <w:pPr>
        <w:tabs>
          <w:tab w:pos="9000" w:val="right"/>
        </w:tabs>
      </w:pPr>
      <w:r>
        <w:rPr>
          <w:rFonts w:ascii="IBM Plex Sans" w:hAnsi="IBM Plex Sans"/>
          <w:b/>
          <w:color w:val="231F20"/>
          <w:sz w:val="22"/>
          <w:u w:val="none"/>
        </w:rPr>
        <w:t>Blank Space Corp.</w:t>
      </w:r>
      <w:r>
        <w:rPr>
          <w:rFonts w:ascii="IBM Plex Sans" w:hAnsi="IBM Plex Sans"/>
          <w:b w:val="0"/>
          <w:color w:val="3A3A3A"/>
          <w:sz w:val="18"/>
          <w:u w:val="none"/>
        </w:rPr>
        <w:tab/>
        <w:t>2024 — Present</w:t>
      </w:r>
    </w:p>
    <w:p>
      <w:pPr>
        <w:spacing w:after="60"/>
      </w:pPr>
      <w:r>
        <w:rPr>
          <w:rFonts w:ascii="IBM Plex Sans" w:hAnsi="IBM Plex Sans"/>
          <w:b w:val="0"/>
          <w:color w:val="494C5B"/>
          <w:sz w:val="20"/>
          <w:u w:val="none"/>
        </w:rPr>
        <w:t>Operations Manager &amp; Product Design Lead</w:t>
      </w:r>
    </w:p>
    <w:p>
      <w:pPr>
        <w:pStyle w:val="ListBullet"/>
        <w:spacing w:after="40"/>
        <w:ind w:left="245"/>
      </w:pPr>
      <w:r>
        <w:rPr>
          <w:rFonts w:ascii="IBM Plex Sans" w:hAnsi="IBM Plex Sans"/>
          <w:b w:val="0"/>
          <w:color w:val="3A3A3A"/>
          <w:sz w:val="18"/>
          <w:u w:val="none"/>
        </w:rPr>
        <w:t>Architected scalable design systems and high-fidelity prototypes, utilizing Figma as the conceptual blueprint and AI-assisted tools to accelerate front-end technical execution.</w:t>
      </w:r>
    </w:p>
    <w:p>
      <w:pPr>
        <w:pStyle w:val="ListBullet"/>
        <w:spacing w:after="40"/>
        <w:ind w:left="245"/>
      </w:pPr>
      <w:r>
        <w:rPr>
          <w:rFonts w:ascii="IBM Plex Sans" w:hAnsi="IBM Plex Sans"/>
          <w:b w:val="0"/>
          <w:color w:val="3A3A3A"/>
          <w:sz w:val="18"/>
          <w:u w:val="none"/>
        </w:rPr>
        <w:t>Aligned product discovery with core business goals, prioritizing agile engineering backlogs through competitive analysis and structured usability testing.</w:t>
      </w:r>
    </w:p>
    <w:p>
      <w:pPr>
        <w:pStyle w:val="ListBullet"/>
        <w:spacing w:after="40"/>
        <w:ind w:left="245"/>
      </w:pPr>
      <w:r>
        <w:rPr>
          <w:rFonts w:ascii="IBM Plex Sans" w:hAnsi="IBM Plex Sans"/>
          <w:b w:val="0"/>
          <w:color w:val="3A3A3A"/>
          <w:sz w:val="18"/>
          <w:u w:val="none"/>
        </w:rPr>
        <w:t>Tightly managed the design-to-development handoff, reducing release friction and ensuring strict adherence to cross-platform UI standards.</w:t>
      </w:r>
    </w:p>
    <w:p>
      <w:pPr>
        <w:pStyle w:val="ListBullet"/>
        <w:spacing w:after="40"/>
        <w:ind w:left="245"/>
      </w:pPr>
      <w:r>
        <w:rPr>
          <w:rFonts w:ascii="IBM Plex Sans" w:hAnsi="IBM Plex Sans"/>
          <w:b w:val="0"/>
          <w:color w:val="3A3A3A"/>
          <w:sz w:val="18"/>
          <w:u w:val="none"/>
        </w:rPr>
        <w:t>Spearheaded the end-to-end product strategy and operational framework for an all-in-one B2B restaurant management platform.</w:t>
      </w:r>
    </w:p>
    <w:p>
      <w:pPr>
        <w:tabs>
          <w:tab w:pos="9000" w:val="right"/>
        </w:tabs>
      </w:pPr>
      <w:r>
        <w:rPr>
          <w:rFonts w:ascii="IBM Plex Sans" w:hAnsi="IBM Plex Sans"/>
          <w:b/>
          <w:color w:val="231F20"/>
          <w:sz w:val="22"/>
          <w:u w:val="none"/>
        </w:rPr>
        <w:t>SendNow Email Marketing</w:t>
      </w:r>
      <w:r>
        <w:rPr>
          <w:rFonts w:ascii="IBM Plex Sans" w:hAnsi="IBM Plex Sans"/>
          <w:b w:val="0"/>
          <w:color w:val="3A3A3A"/>
          <w:sz w:val="18"/>
          <w:u w:val="none"/>
        </w:rPr>
        <w:tab/>
        <w:t>2023 — 2024</w:t>
      </w:r>
    </w:p>
    <w:p>
      <w:pPr>
        <w:spacing w:after="60"/>
      </w:pPr>
      <w:r>
        <w:rPr>
          <w:rFonts w:ascii="IBM Plex Sans" w:hAnsi="IBM Plex Sans"/>
          <w:b w:val="0"/>
          <w:color w:val="494C5B"/>
          <w:sz w:val="20"/>
          <w:u w:val="none"/>
        </w:rPr>
        <w:t>Co-Founder &amp; Product Designer</w:t>
      </w:r>
    </w:p>
    <w:p>
      <w:pPr>
        <w:pStyle w:val="ListBullet"/>
        <w:spacing w:after="40"/>
        <w:ind w:left="245"/>
      </w:pPr>
      <w:r>
        <w:rPr>
          <w:rFonts w:ascii="IBM Plex Sans" w:hAnsi="IBM Plex Sans"/>
          <w:b w:val="0"/>
          <w:color w:val="3A3A3A"/>
          <w:sz w:val="18"/>
          <w:u w:val="none"/>
        </w:rPr>
        <w:t>Led the end-to-end design and successful launch of a 0-to-1 B2B email marketing platform MVP.</w:t>
      </w:r>
    </w:p>
    <w:p>
      <w:pPr>
        <w:pStyle w:val="ListBullet"/>
        <w:spacing w:after="40"/>
        <w:ind w:left="245"/>
      </w:pPr>
      <w:r>
        <w:rPr>
          <w:rFonts w:ascii="IBM Plex Sans" w:hAnsi="IBM Plex Sans"/>
          <w:b w:val="0"/>
          <w:color w:val="3A3A3A"/>
          <w:sz w:val="18"/>
          <w:u w:val="none"/>
        </w:rPr>
        <w:t>Validated core user journeys for campaign management, list building, and onboarding through rigorous customer interviews and heuristic evaluations.</w:t>
      </w:r>
    </w:p>
    <w:p>
      <w:pPr>
        <w:pStyle w:val="ListBullet"/>
        <w:spacing w:after="40"/>
        <w:ind w:left="245"/>
      </w:pPr>
      <w:r>
        <w:rPr>
          <w:rFonts w:ascii="IBM Plex Sans" w:hAnsi="IBM Plex Sans"/>
          <w:b w:val="0"/>
          <w:color w:val="3A3A3A"/>
          <w:sz w:val="18"/>
          <w:u w:val="none"/>
        </w:rPr>
        <w:t>Accelerated time-to-first-campaign metrics by enforcing strict scope discipline and delivering highly technical, interactive prototypes.</w:t>
      </w:r>
    </w:p>
    <w:p>
      <w:pPr>
        <w:pStyle w:val="ListBullet"/>
        <w:spacing w:after="40"/>
        <w:ind w:left="245"/>
      </w:pPr>
      <w:r>
        <w:rPr>
          <w:rFonts w:ascii="IBM Plex Sans" w:hAnsi="IBM Plex Sans"/>
          <w:b w:val="0"/>
          <w:color w:val="3A3A3A"/>
          <w:sz w:val="18"/>
          <w:u w:val="none"/>
        </w:rPr>
        <w:t>Scaled UI consistency across the application by building and maintaining comprehensive Figma component libraries and reusable design patterns.</w:t>
      </w:r>
    </w:p>
    <w:p>
      <w:pPr>
        <w:tabs>
          <w:tab w:pos="9000" w:val="right"/>
        </w:tabs>
      </w:pPr>
      <w:r>
        <w:rPr>
          <w:rFonts w:ascii="IBM Plex Sans" w:hAnsi="IBM Plex Sans"/>
          <w:b/>
          <w:color w:val="231F20"/>
          <w:sz w:val="22"/>
          <w:u w:val="none"/>
        </w:rPr>
        <w:t>Demand Science</w:t>
      </w:r>
      <w:r>
        <w:rPr>
          <w:rFonts w:ascii="IBM Plex Sans" w:hAnsi="IBM Plex Sans"/>
          <w:b w:val="0"/>
          <w:color w:val="3A3A3A"/>
          <w:sz w:val="18"/>
          <w:u w:val="none"/>
        </w:rPr>
        <w:tab/>
        <w:t>2021 — 2023</w:t>
      </w:r>
    </w:p>
    <w:p>
      <w:pPr>
        <w:spacing w:after="60"/>
      </w:pPr>
      <w:r>
        <w:rPr>
          <w:rFonts w:ascii="IBM Plex Sans" w:hAnsi="IBM Plex Sans"/>
          <w:b w:val="0"/>
          <w:color w:val="494C5B"/>
          <w:sz w:val="20"/>
          <w:u w:val="none"/>
        </w:rPr>
        <w:t>Senior Product Designer</w:t>
      </w:r>
    </w:p>
    <w:p>
      <w:pPr>
        <w:pStyle w:val="ListBullet"/>
        <w:spacing w:after="40"/>
        <w:ind w:left="245"/>
      </w:pPr>
      <w:r>
        <w:rPr>
          <w:rFonts w:ascii="IBM Plex Sans" w:hAnsi="IBM Plex Sans"/>
          <w:b w:val="0"/>
          <w:color w:val="3A3A3A"/>
          <w:sz w:val="18"/>
          <w:u w:val="none"/>
        </w:rPr>
        <w:t>Directed the UX/UI strategy and execution for multiple B2B SaaS surfaces, including Klarity, ReplyForce, and a proprietary Chrome extension.</w:t>
      </w:r>
    </w:p>
    <w:p>
      <w:pPr>
        <w:pStyle w:val="ListBullet"/>
        <w:spacing w:after="40"/>
        <w:ind w:left="245"/>
      </w:pPr>
      <w:r>
        <w:rPr>
          <w:rFonts w:ascii="IBM Plex Sans" w:hAnsi="IBM Plex Sans"/>
          <w:b w:val="0"/>
          <w:color w:val="3A3A3A"/>
          <w:sz w:val="18"/>
          <w:u w:val="none"/>
        </w:rPr>
        <w:t>Engineered a centralized design system spanning 3+ product lines, encompassing design tokens, scalable components, and streamlined engineering handoff documentation.</w:t>
      </w:r>
    </w:p>
    <w:p>
      <w:pPr>
        <w:pStyle w:val="ListBullet"/>
        <w:spacing w:after="40"/>
        <w:ind w:left="245"/>
      </w:pPr>
      <w:r>
        <w:rPr>
          <w:rFonts w:ascii="IBM Plex Sans" w:hAnsi="IBM Plex Sans"/>
          <w:b w:val="0"/>
          <w:color w:val="3A3A3A"/>
          <w:sz w:val="18"/>
          <w:u w:val="none"/>
        </w:rPr>
        <w:t>De-risked the product roadmap by executing structured usability readouts that directly informed high-impact Information Architecture (IA) and interface optimizations.</w:t>
      </w:r>
    </w:p>
    <w:p>
      <w:pPr>
        <w:pStyle w:val="ListBullet"/>
        <w:spacing w:after="40"/>
        <w:ind w:left="245"/>
      </w:pPr>
      <w:r>
        <w:rPr>
          <w:rFonts w:ascii="IBM Plex Sans" w:hAnsi="IBM Plex Sans"/>
          <w:b w:val="0"/>
          <w:color w:val="3A3A3A"/>
          <w:sz w:val="18"/>
          <w:u w:val="none"/>
        </w:rPr>
        <w:t>Conducted rigorous design QA and delivered comprehensive interaction specs through continuous release cycles.</w:t>
      </w:r>
    </w:p>
    <w:p>
      <w:pPr>
        <w:tabs>
          <w:tab w:pos="9000" w:val="right"/>
        </w:tabs>
      </w:pPr>
      <w:r>
        <w:rPr>
          <w:rFonts w:ascii="IBM Plex Sans" w:hAnsi="IBM Plex Sans"/>
          <w:b/>
          <w:color w:val="231F20"/>
          <w:sz w:val="22"/>
          <w:u w:val="none"/>
        </w:rPr>
        <w:t>Intuit Canada</w:t>
      </w:r>
      <w:r>
        <w:rPr>
          <w:rFonts w:ascii="IBM Plex Sans" w:hAnsi="IBM Plex Sans"/>
          <w:b w:val="0"/>
          <w:color w:val="3A3A3A"/>
          <w:sz w:val="18"/>
          <w:u w:val="none"/>
        </w:rPr>
        <w:tab/>
        <w:t>2017 — 2021</w:t>
      </w:r>
    </w:p>
    <w:p>
      <w:pPr>
        <w:spacing w:after="60"/>
      </w:pPr>
      <w:r>
        <w:rPr>
          <w:rFonts w:ascii="IBM Plex Sans" w:hAnsi="IBM Plex Sans"/>
          <w:b w:val="0"/>
          <w:color w:val="494C5B"/>
          <w:sz w:val="20"/>
          <w:u w:val="none"/>
        </w:rPr>
        <w:t>Senior UX/UI Designer</w:t>
      </w:r>
    </w:p>
    <w:p>
      <w:pPr>
        <w:pStyle w:val="ListBullet"/>
        <w:spacing w:after="40"/>
        <w:ind w:left="245"/>
      </w:pPr>
      <w:r>
        <w:rPr>
          <w:rFonts w:ascii="IBM Plex Sans" w:hAnsi="IBM Plex Sans"/>
          <w:b w:val="0"/>
          <w:color w:val="3A3A3A"/>
          <w:sz w:val="18"/>
          <w:u w:val="none"/>
        </w:rPr>
        <w:t>Owned the end-to-end UX and UI design for high-traffic, accessible seasonal releases across TurboTax and ProFile software ecosystems.</w:t>
      </w:r>
    </w:p>
    <w:p>
      <w:pPr>
        <w:pStyle w:val="ListBullet"/>
        <w:spacing w:after="40"/>
        <w:ind w:left="245"/>
      </w:pPr>
      <w:r>
        <w:rPr>
          <w:rFonts w:ascii="IBM Plex Sans" w:hAnsi="IBM Plex Sans"/>
          <w:b w:val="0"/>
          <w:color w:val="3A3A3A"/>
          <w:sz w:val="18"/>
          <w:u w:val="none"/>
        </w:rPr>
        <w:t>Orchestrated multi-channel tax-season product launches, coordinating seamlessly with cross-functional engineering and product marketing teams.</w:t>
      </w:r>
    </w:p>
    <w:p>
      <w:pPr>
        <w:pStyle w:val="ListBullet"/>
        <w:spacing w:after="40"/>
        <w:ind w:left="245"/>
      </w:pPr>
      <w:r>
        <w:rPr>
          <w:rFonts w:ascii="IBM Plex Sans" w:hAnsi="IBM Plex Sans"/>
          <w:b w:val="0"/>
          <w:color w:val="3A3A3A"/>
          <w:sz w:val="18"/>
          <w:u w:val="none"/>
        </w:rPr>
        <w:t>Executed pre-production usability testing and A/B conversion experimentation on core user paths, portals, and landing pages to maximize product engagement.</w:t>
      </w:r>
    </w:p>
    <w:p>
      <w:pPr>
        <w:spacing w:before="120" w:after="120"/>
      </w:pPr>
      <w:r>
        <w:rPr>
          <w:rFonts w:ascii="IBM Plex Sans" w:hAnsi="IBM Plex Sans"/>
          <w:b/>
          <w:color w:val="281CFF"/>
          <w:sz w:val="26"/>
          <w:u w:val="none"/>
        </w:rPr>
        <w:t>Education</w:t>
      </w:r>
    </w:p>
    <w:p>
      <w:pPr>
        <w:spacing w:after="200"/>
      </w:pPr>
      <w:r>
        <w:rPr>
          <w:rFonts w:ascii="IBM Plex Sans" w:hAnsi="IBM Plex Sans"/>
          <w:b w:val="0"/>
          <w:color w:val="3A3A3A"/>
          <w:sz w:val="20"/>
          <w:u w:val="none"/>
        </w:rPr>
        <w:t>Humber College — Toronto, ON · 2011 — 2014</w:t>
        <w:br/>
        <w:t>Advanced Diploma, Advertising &amp; Graphic Design</w:t>
      </w:r>
    </w:p>
    <w:p>
      <w:pPr>
        <w:spacing w:after="120"/>
      </w:pPr>
      <w:r>
        <w:rPr>
          <w:rFonts w:ascii="IBM Plex Sans" w:hAnsi="IBM Plex Sans"/>
          <w:b/>
          <w:color w:val="281CFF"/>
          <w:sz w:val="26"/>
          <w:u w:val="none"/>
        </w:rPr>
        <w:t>Technical skills</w:t>
      </w:r>
    </w:p>
    <w:tbl>
      <w:tblPr>
        <w:tblW w:type="auto" w:w="0"/>
        <w:tblLayout w:type="autofit"/>
        <w:tblLook w:firstColumn="1" w:firstRow="1" w:lastColumn="0" w:lastRow="0" w:noHBand="0" w:noVBand="1" w:val="04A0"/>
      </w:tblPr>
      <w:tblGrid>
        <w:gridCol w:w="5443"/>
        <w:gridCol w:w="5443"/>
      </w:tblGrid>
      <w:tr>
        <w:tc>
          <w:tcPr>
            <w:tcW w:type="dxa" w:w="5443"/>
          </w:tcPr>
          <w:p>
            <w:r/>
            <w:r>
              <w:rPr>
                <w:rFonts w:ascii="IBM Plex Sans" w:hAnsi="IBM Plex Sans"/>
                <w:b/>
                <w:color w:val="3A3A3A"/>
                <w:sz w:val="18"/>
                <w:u w:val="none"/>
              </w:rPr>
              <w:t>Product Strategy &amp; UX</w:t>
            </w:r>
            <w:r>
              <w:rPr>
                <w:rFonts w:ascii="IBM Plex Sans" w:hAnsi="IBM Plex Sans"/>
                <w:b w:val="0"/>
                <w:color w:val="3A3A3A"/>
                <w:sz w:val="18"/>
                <w:u w:val="none"/>
              </w:rPr>
              <w:t xml:space="preserve"> — B2B SaaS, Fintech Ecosystems, Information Architecture, Wireframing, High-Fidelity Prototyping, Agile Methodologies, Operational Strategy.</w:t>
            </w:r>
          </w:p>
        </w:tc>
        <w:tc>
          <w:tcPr>
            <w:tcW w:type="dxa" w:w="5443"/>
          </w:tcPr>
          <w:p>
            <w:r/>
            <w:r>
              <w:rPr>
                <w:rFonts w:ascii="IBM Plex Sans" w:hAnsi="IBM Plex Sans"/>
                <w:b/>
                <w:color w:val="3A3A3A"/>
                <w:sz w:val="18"/>
                <w:u w:val="none"/>
              </w:rPr>
              <w:t>Research &amp; Testing</w:t>
            </w:r>
            <w:r>
              <w:rPr>
                <w:rFonts w:ascii="IBM Plex Sans" w:hAnsi="IBM Plex Sans"/>
                <w:b w:val="0"/>
                <w:color w:val="3A3A3A"/>
                <w:sz w:val="18"/>
                <w:u w:val="none"/>
              </w:rPr>
              <w:t xml:space="preserve"> — Usability Testing, Heuristic Evaluation, WCAG Accessibility Standards, A/B Experimentation.</w:t>
            </w:r>
          </w:p>
        </w:tc>
      </w:tr>
      <w:tr>
        <w:tc>
          <w:tcPr>
            <w:tcW w:type="dxa" w:w="5443"/>
          </w:tcPr>
          <w:p>
            <w:r/>
            <w:r>
              <w:rPr>
                <w:rFonts w:ascii="IBM Plex Sans" w:hAnsi="IBM Plex Sans"/>
                <w:b/>
                <w:color w:val="3A3A3A"/>
                <w:sz w:val="18"/>
                <w:u w:val="none"/>
              </w:rPr>
              <w:t>Design Systems &amp; Tools</w:t>
            </w:r>
            <w:r>
              <w:rPr>
                <w:rFonts w:ascii="IBM Plex Sans" w:hAnsi="IBM Plex Sans"/>
                <w:b w:val="0"/>
                <w:color w:val="3A3A3A"/>
                <w:sz w:val="18"/>
                <w:u w:val="none"/>
              </w:rPr>
              <w:t xml:space="preserve"> — Figma, FigJam, Miro, Scalable UI Libraries, Design Tokens.</w:t>
            </w:r>
          </w:p>
        </w:tc>
        <w:tc>
          <w:tcPr>
            <w:tcW w:type="dxa" w:w="5443"/>
          </w:tcPr>
          <w:p>
            <w:r/>
            <w:r>
              <w:rPr>
                <w:rFonts w:ascii="IBM Plex Sans" w:hAnsi="IBM Plex Sans"/>
                <w:b/>
                <w:color w:val="3A3A3A"/>
                <w:sz w:val="18"/>
                <w:u w:val="none"/>
              </w:rPr>
              <w:t>Technical Execution &amp; AI</w:t>
            </w:r>
            <w:r>
              <w:rPr>
                <w:rFonts w:ascii="IBM Plex Sans" w:hAnsi="IBM Plex Sans"/>
                <w:b w:val="0"/>
                <w:color w:val="3A3A3A"/>
                <w:sz w:val="18"/>
                <w:u w:val="none"/>
              </w:rPr>
              <w:t xml:space="preserve"> — AI-Assisted Development, Cursor, Claude, GitHub Copilot, HTML/CSS Integration, Code-as-Source-of-Truth Workflows.</w:t>
            </w:r>
          </w:p>
        </w:tc>
      </w:tr>
    </w:tbl>
    <w:sectPr w:rsidR="00FC693F" w:rsidRPr="0006063C" w:rsidSect="00034616">
      <w:pgSz w:w="12240" w:h="15840"/>
      <w:pgMar w:top="720" w:right="677" w:bottom="720" w:left="6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